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Church Giving and Lasting Freedom from Bonded Labor in Pakistan</w:t>
      </w:r>
    </w:p>
    <w:p>
      <w:pPr>
        <w:pStyle w:val="Subtitle"/>
      </w:pPr>
      <w:r>
        <w:t>A donor report for churches and individuals supporting brick kiln families</w:t>
      </w:r>
    </w:p>
    <w:p>
      <w:r>
        <w:rPr>
          <w:b w:val="0"/>
        </w:rPr>
        <w:t>Christopher Tolliver | Global Freedom Mission | October 7, 2026</w:t>
      </w:r>
    </w:p>
    <w:p>
      <w:r>
        <w:rPr>
          <w:b/>
        </w:rPr>
        <w:t>Before funding a claim that a family has been freed from slavery, require a lawful intervention, a complete money trail, independent verification and follow-up. A debt payment, a photograph or a testimony alone does not establish lasting freedom.</w:t>
      </w:r>
    </w:p>
    <w:p>
      <w:r>
        <w:rPr>
          <w:b w:val="0"/>
        </w:rPr>
        <w:t>As Christians, we should respond when families are trapped in exploitation. We should also take responsibility for what happens to the money entrusted to us. Compassion should support a family’s freedom, safety and ability to earn a living. It should not become an unchecked source of income for intermediaries or abusive employers.</w:t>
      </w:r>
    </w:p>
    <w:p>
      <w:pPr>
        <w:pStyle w:val="Heading2"/>
      </w:pPr>
      <w:r>
        <w:t>What I encountered in Pakistan</w:t>
      </w:r>
    </w:p>
    <w:p>
      <w:r>
        <w:t>My visits to Pakistan’s brick kilns exposed requests for commissions and serious difficulty verifying who was in bondage and whether money reached the intended family. An armed confrontation later showed me how dangerous this work could become. My fuller personal account follows.</w:t>
      </w:r>
    </w:p>
    <w:p>
      <w:pPr>
        <w:pStyle w:val="Heading2"/>
      </w:pPr>
      <w:r>
        <w:t>Why paying a claimed debt is not enough</w:t>
      </w:r>
    </w:p>
    <w:p>
      <w:r>
        <w:rPr>
          <w:b w:val="0"/>
        </w:rPr>
        <w:t>An owner’s ledger can show a balance without proving that the amount is accurate or legally enforceable. Even when a payment is real, it does not establish that threats ended, that every family member can leave, or that the household has an alternative to taking another exploitative advance. An owner’s signature cannot answer those questions by itself.</w:t>
      </w:r>
    </w:p>
    <w:p>
      <w:r>
        <w:rPr>
          <w:b w:val="0"/>
        </w:rPr>
        <w:t>Pakistan’s National Commission for Human Rights described continuing exploitation in its 2025 Punjab brick kiln study. Its research included surveys of 200 workers and interviews with 25 survivors. The Commission identified unfair wages, missing contracts and social protections, unsafe conditions, inadequate housing and sanitation, and weak district oversight. These findings support the need for enforcement and rehabilitation beyond a one-time transaction. [1]</w:t>
      </w:r>
    </w:p>
    <w:p>
      <w:r>
        <w:rPr>
          <w:b w:val="0"/>
        </w:rPr>
        <w:t>This report calls for donors to stop financing unverified release claims. It does not ask churches to stop helping families. It asks them to fund legal protection, independently checked outcomes and a realistic path to lasting freedom.</w:t>
      </w:r>
    </w:p>
    <w:p>
      <w:pPr>
        <w:pStyle w:val="Heading1"/>
        <w:pageBreakBefore/>
      </w:pPr>
      <w:r>
        <w:t>My experience in Pakistan’s brick kilns</w:t>
      </w:r>
    </w:p>
    <w:p>
      <w:pPr/>
      <w:r>
        <w:t>When I first entered Pakistan’s brick kiln communities, I wanted to free every family I encountered. My concern was sincere, but I was naïve about the risks, the local power structures and the legal work required. I learned that good intentions alone could put other people in danger.</w:t>
      </w:r>
    </w:p>
    <w:p>
      <w:pPr/>
      <w:r>
        <w:t>During a later visit, armed men chased our team away. Guns were put against the foreheads of our videographer and photographer, and they were threatened with death over the footage we were taking. My security team rushed me out of the area.</w:t>
      </w:r>
    </w:p>
    <w:p>
      <w:pPr/>
      <w:r>
        <w:t>As we were leaving, two trucks carrying armed security personnel arrived at the site. I was taken to a safe location. Other people involved were taken to the police station. I cannot identify the responding unit with confidence, so I describe them here as security personnel.</w:t>
      </w:r>
    </w:p>
    <w:p>
      <w:pPr/>
      <w:r>
        <w:t>The incident opened the door to meetings with government representatives. In those conversations, officials apologized and told me I was welcome, but urged me to proceed diplomatically rather than enter kilns trying to free everyone. I understood those discussions as a warning about powerful interests and corruption surrounding the work.</w:t>
      </w:r>
    </w:p>
    <w:p>
      <w:pPr/>
      <w:r>
        <w:t>I came away believing we were facing organized coercion and entrenched corruption. My account describes what happened to our team and how I understood it. It does not establish that every kiln owner, ministry or public official is part of a criminal network.</w:t>
      </w:r>
    </w:p>
    <w:p>
      <w:pPr/>
      <w:r>
        <w:t>The lesson was not to stop caring. It was to change the method. Lasting freedom requires qualified local legal help, lawful enforcement, independent verification and support that gives families a real choice about their future.</w:t>
      </w:r>
    </w:p>
    <w:p>
      <w:pPr/>
      <w:r>
        <w:t>I still want families to be free. I want children in school, adults earning fair wages, and people able to leave a job without threats. I also want churches to know where their money goes. We should help build a system that protects those freedoms instead of repeatedly paying for promises.</w:t>
      </w:r>
    </w:p>
    <w:p>
      <w:pPr/>
      <w:r>
        <w:rPr>
          <w:sz w:val="18"/>
        </w:rPr>
        <w:t>Christopher Tolliver’s firsthand account. Names and identifying details of local team members are withheld.</w:t>
      </w:r>
    </w:p>
    <w:p>
      <w:pPr>
        <w:pStyle w:val="Heading1"/>
        <w:pageBreakBefore/>
      </w:pPr>
      <w:r>
        <w:t>The law and the evidence donors should require</w:t>
      </w:r>
    </w:p>
    <w:p>
      <w:r>
        <w:rPr>
          <w:b w:val="0"/>
        </w:rPr>
        <w:t>Pakistan’s Bonded Labour System (Abolition) Act, 1992 abolishes the bonded labor system. Sections 4 to 6 address freedom from bonded labor, invalid bonded labor agreements and extinguished bonded debts; section 8 prohibits accepting payment against a debt extinguished under the Act. Its original criminal procedure includes trial by an empowered magistrate. Provincial laws and amendments must be checked for the particular case. [2]</w:t>
      </w:r>
    </w:p>
    <w:p>
      <w:r>
        <w:rPr>
          <w:b w:val="0"/>
        </w:rPr>
        <w:t>The practical question is therefore not simply “How much does the owner want?” It is “What does the applicable law require, and what will protect this family?” A licensed Pakistani lawyer should assess the claimed debt and proposed intervention before donor money is paid to an employer.</w:t>
      </w:r>
    </w:p>
    <w:p>
      <w:pPr>
        <w:pStyle w:val="Heading2"/>
      </w:pPr>
      <w:r>
        <w:t>Use the competent legal process</w:t>
      </w:r>
    </w:p>
    <w:p>
      <w:r>
        <w:rPr>
          <w:b w:val="0"/>
        </w:rPr>
        <w:t>A case does not have to reach Pakistan’s Supreme Court to be legitimate. Require a lawyer to identify the current provincial law, appropriate authorities and competent court where proceedings are needed. The route may include a labor complaint, police investigation, criminal proceedings or an application for court protection. A referral or filed case is a step toward an outcome, not proof that freedom has been secured.</w:t>
      </w:r>
    </w:p>
    <w:p>
      <w:r>
        <w:rPr>
          <w:b w:val="0"/>
        </w:rPr>
        <w:t>Donors should request the lawyer’s name and independently check professional standing. Ask for a written legal assessment and, where applicable, the complaint reference, case number, relevant orders and a plan for implementation. A legitimate intervention may not require a court order in every case; the lawyer should explain why and document the alternative lawful route.</w:t>
      </w:r>
    </w:p>
    <w:p>
      <w:pPr>
        <w:pStyle w:val="Heading2"/>
      </w:pPr>
      <w:r>
        <w:t>Verify the family away from the owner</w:t>
      </w:r>
    </w:p>
    <w:p>
      <w:r>
        <w:rPr>
          <w:b w:val="0"/>
        </w:rPr>
        <w:t>A qualified local caseworker should privately establish who is affected, whether adults can refuse work or leave, what threats or restrictions exist, how wages and debts are recorded, and whether children are being exploited. Interview women separately where safe and appropriate. Do not treat every poor kiln worker as a bonded laborer, or overlook coercion because someone receives some wages.</w:t>
      </w:r>
    </w:p>
    <w:p>
      <w:r>
        <w:rPr>
          <w:b w:val="0"/>
        </w:rPr>
        <w:t>Boots on the ground matter, but physical presence alone is not an integrity test. The person requesting funding should not be the sole verifier. Use an independent lawyer, caseworker or other qualified reviewer with no financial interest in the employer or a release payment.</w:t>
      </w:r>
    </w:p>
    <w:p>
      <w:pPr>
        <w:pStyle w:val="Heading2"/>
      </w:pPr>
      <w:r>
        <w:t>Verify every funded case without promising certainty</w:t>
      </w:r>
    </w:p>
    <w:p>
      <w:r>
        <w:rPr>
          <w:b w:val="0"/>
        </w:rPr>
        <w:t>Require documented checks for every funded case, with unresolved questions recorded. No responsible organization can promise absolute certainty or continuous observation of every household. Donors can require complete accounting, independent checks and honest disclosure of what remains unverified. Protect identities and locations; a church can receive redacted records while an authorized reviewer checks the originals.</w:t>
      </w:r>
    </w:p>
    <w:p>
      <w:pPr>
        <w:pStyle w:val="Heading1"/>
        <w:pageBreakBefore/>
      </w:pPr>
      <w:r>
        <w:t>Follow the money from the church to the outcome</w:t>
      </w:r>
    </w:p>
    <w:p>
      <w:r>
        <w:rPr>
          <w:b w:val="0"/>
        </w:rPr>
        <w:t>Approve a written budget before transferring funds. Separate legal fees, transport, housing, food, education, casework and administration. Disclose all intermediary fees and conflicts of interest. Do not approve hidden commissions, bribes or a fee calculated by the number of people declared “freed.”</w:t>
      </w:r>
    </w:p>
    <w:p>
      <w:r>
        <w:rPr>
          <w:b w:val="0"/>
        </w:rPr>
        <w:t>Require a reconciliation showing funds received, each payment, documented fees, exchange rates, remaining balances and refunds. Use an organization’s verified account and traceable payments where feasible. Where cash is necessary, require a recorded reason, controlled withdrawal, receipt and independent reconciliation. A receipt documents spending; it does not prove freedom.</w:t>
      </w:r>
    </w:p>
    <w:p>
      <w:pPr>
        <w:pStyle w:val="Heading2"/>
      </w:pPr>
      <w:r>
        <w:t>Records that should travel with each funded case</w:t>
      </w:r>
    </w:p>
    <w:tbl>
      <w:tblPr>
        <w:tblW w:type="auto" w:w="0"/>
        <w:jc w:val="center"/>
        <w:tblLayout w:type="fixed"/>
        <w:tblLook w:firstColumn="1" w:firstRow="1" w:lastColumn="0" w:lastRow="0" w:noHBand="0" w:noVBand="1" w:val="04A0"/>
      </w:tblPr>
      <w:tblGrid>
        <w:gridCol w:w="2160"/>
        <w:gridCol w:w="7920"/>
      </w:tblGrid>
      <w:tr>
        <w:trPr>
          <w:cantSplit/>
          <w:tblHeader/>
        </w:trPr>
        <w:tc>
          <w:tcPr>
            <w:tcW w:type="dxa" w:w="50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7354A"/>
          </w:tcPr>
          <w:p>
            <w:pPr>
              <w:spacing w:after="60" w:before="60"/>
            </w:pPr>
            <w:r>
              <w:rPr>
                <w:b/>
                <w:color w:val="FFFFFF"/>
                <w:sz w:val="21"/>
              </w:rPr>
              <w:t>Record</w:t>
            </w:r>
          </w:p>
        </w:tc>
        <w:tc>
          <w:tcPr>
            <w:tcW w:type="dxa" w:w="50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7354A"/>
          </w:tcPr>
          <w:p>
            <w:pPr>
              <w:spacing w:after="60" w:before="60"/>
            </w:pPr>
            <w:r>
              <w:rPr>
                <w:b/>
                <w:color w:val="FFFFFF"/>
                <w:sz w:val="21"/>
              </w:rPr>
              <w:t>Minimum evidence</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7"/>
          </w:tcPr>
          <w:p>
            <w:pPr>
              <w:spacing w:after="60" w:before="60"/>
            </w:pPr>
            <w:r>
              <w:rPr>
                <w:sz w:val="21"/>
              </w:rPr>
              <w:t>Case record</w:t>
            </w:r>
          </w:p>
        </w:tc>
        <w:tc>
          <w:tcPr>
            <w:tcW w:type="dxa" w:w="79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7"/>
          </w:tcPr>
          <w:p>
            <w:pPr>
              <w:spacing w:after="60" w:before="60"/>
            </w:pPr>
            <w:r>
              <w:rPr>
                <w:sz w:val="21"/>
              </w:rPr>
              <w:t>A confidential case ID, household count, consent record and independent assessment of coercion.</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before="60"/>
            </w:pPr>
            <w:r>
              <w:rPr>
                <w:sz w:val="21"/>
              </w:rPr>
              <w:t>Legal record</w:t>
            </w:r>
          </w:p>
        </w:tc>
        <w:tc>
          <w:tcPr>
            <w:tcW w:type="dxa" w:w="79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before="60"/>
            </w:pPr>
            <w:r>
              <w:rPr>
                <w:sz w:val="21"/>
              </w:rPr>
              <w:t>Lawyer verification, written legal route, and complaint or court documents where applicable.</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7"/>
          </w:tcPr>
          <w:p>
            <w:pPr>
              <w:spacing w:after="60" w:before="60"/>
            </w:pPr>
            <w:r>
              <w:rPr>
                <w:sz w:val="21"/>
              </w:rPr>
              <w:t>Payment record</w:t>
            </w:r>
          </w:p>
        </w:tc>
        <w:tc>
          <w:tcPr>
            <w:tcW w:type="dxa" w:w="79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7"/>
          </w:tcPr>
          <w:p>
            <w:pPr>
              <w:spacing w:after="60" w:before="60"/>
            </w:pPr>
            <w:r>
              <w:rPr>
                <w:sz w:val="21"/>
              </w:rPr>
              <w:t>Date, payer, recipient, purpose, currency, exchange rate, amount and supporting receipt or bank reference.</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before="60"/>
            </w:pPr>
            <w:r>
              <w:rPr>
                <w:sz w:val="21"/>
              </w:rPr>
              <w:t>Receipt of assistance</w:t>
            </w:r>
          </w:p>
        </w:tc>
        <w:tc>
          <w:tcPr>
            <w:tcW w:type="dxa" w:w="79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before="60"/>
            </w:pPr>
            <w:r>
              <w:rPr>
                <w:sz w:val="21"/>
              </w:rPr>
              <w:t>Independent confirmation that the family or service provider received the intended support.</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7"/>
          </w:tcPr>
          <w:p>
            <w:pPr>
              <w:spacing w:after="60" w:before="60"/>
            </w:pPr>
            <w:r>
              <w:rPr>
                <w:sz w:val="21"/>
              </w:rPr>
              <w:t>Outcome record</w:t>
            </w:r>
          </w:p>
        </w:tc>
        <w:tc>
          <w:tcPr>
            <w:tcW w:type="dxa" w:w="79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7"/>
          </w:tcPr>
          <w:p>
            <w:pPr>
              <w:spacing w:after="60" w:before="60"/>
            </w:pPr>
            <w:r>
              <w:rPr>
                <w:sz w:val="21"/>
              </w:rPr>
              <w:t>Private confirmation of freedom of movement, safety, income options and follow-up status.</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before="60"/>
            </w:pPr>
            <w:r>
              <w:rPr>
                <w:sz w:val="21"/>
              </w:rPr>
              <w:t>Reconciliation</w:t>
            </w:r>
          </w:p>
        </w:tc>
        <w:tc>
          <w:tcPr>
            <w:tcW w:type="dxa" w:w="79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before="60"/>
            </w:pPr>
            <w:r>
              <w:rPr>
                <w:sz w:val="21"/>
              </w:rPr>
              <w:t>Reviewer sign-off matching the approved budget to actual spending and the closing balance.</w:t>
            </w:r>
          </w:p>
        </w:tc>
      </w:tr>
    </w:tbl>
    <w:p>
      <w:r>
        <w:rPr>
          <w:b w:val="0"/>
        </w:rPr>
      </w:r>
    </w:p>
    <w:p>
      <w:pPr>
        <w:pStyle w:val="Heading2"/>
      </w:pPr>
      <w:r>
        <w:t>Warning signs that justify pausing a payment</w:t>
      </w:r>
    </w:p>
    <w:p>
      <w:r>
        <w:rPr>
          <w:b w:val="0"/>
        </w:rPr>
        <w:t>Pause when an organizer refuses independent review, demands secrecy about commissions, insists on an unexplained personal account, changes the debt without evidence, or offers only owner-controlled interviews. Reused photographs, inconsistent case counts and guaranteed release claims also require investigation. A warning sign is a reason to check, not a finding of fraud.</w:t>
      </w:r>
    </w:p>
    <w:p>
      <w:r>
        <w:rPr>
          <w:b w:val="0"/>
        </w:rPr>
        <w:t>If money may have been diverted, preserve receipts and messages, notify the church’s leadership and obtain independent legal or accounting advice. Report credible wrongdoing through appropriate channels. Continue safe essential support to affected families while separating that support from the disputed transaction.</w:t>
      </w:r>
    </w:p>
    <w:p>
      <w:pPr>
        <w:pStyle w:val="Heading1"/>
        <w:pageBreakBefore/>
      </w:pPr>
      <w:r>
        <w:t>Lasting freedom requires public accountability</w:t>
      </w:r>
    </w:p>
    <w:p>
      <w:r>
        <w:rPr>
          <w:b w:val="0"/>
        </w:rPr>
        <w:t>Private donors cannot replace the government’s responsibility to enforce the law. A family should not need a foreign sponsor to obtain rights it already has. The public demand should be specific enough that authorities can act and communities can measure whether they did.</w:t>
      </w:r>
    </w:p>
    <w:p>
      <w:pPr>
        <w:pStyle w:val="Heading2"/>
      </w:pPr>
      <w:r>
        <w:t>Inspect kilns and investigate coercion</w:t>
      </w:r>
    </w:p>
    <w:p>
      <w:r>
        <w:rPr>
          <w:b w:val="0"/>
        </w:rPr>
        <w:t>Call for a district-by-district kiln register, including unregistered sites, and a funded inspection program led by authorized agencies. Interviews should be private, complaints accessible and retaliation actively addressed. Investigators should examine wage records, debt practices, movement restrictions and child exploitation. Credible evidence should lead to lawful investigation, arrest where justified and prosecution of responsible owners, managers or intermediaries. Officials who obstruct enforcement or take bribes should also face investigation and due process.</w:t>
      </w:r>
    </w:p>
    <w:p>
      <w:pPr>
        <w:pStyle w:val="Heading2"/>
      </w:pPr>
      <w:r>
        <w:t>Make enforcement visible without exposing families</w:t>
      </w:r>
    </w:p>
    <w:p>
      <w:r>
        <w:rPr>
          <w:b w:val="0"/>
        </w:rPr>
        <w:t>Ask provincial labor authorities and district administrations to report inspections completed, complaints received, cases opened, proceedings concluded and rehabilitation delivered. Publish aggregate results rather than names or addresses of protected families. Track unresolved complaints and missed deadlines. Seek independent review and survivor feedback rather than accepting announcements as evidence of progress.</w:t>
      </w:r>
    </w:p>
    <w:p>
      <w:r>
        <w:rPr>
          <w:b w:val="0"/>
        </w:rPr>
        <w:t>NCHR’s 2025 work calls for stronger District Vigilance Committees, a digital complaint system, expanded protection and a rehabilitation fund. Those recommendations provide a practical starting point for government dialogue. [1]</w:t>
      </w:r>
    </w:p>
    <w:p>
      <w:pPr>
        <w:pStyle w:val="Heading2"/>
      </w:pPr>
      <w:r>
        <w:t>Build a viable life after release</w:t>
      </w:r>
    </w:p>
    <w:p>
      <w:r>
        <w:rPr>
          <w:b w:val="0"/>
        </w:rPr>
        <w:t>A family may need emergency housing, food, identification documents, legal protection, health care and school access. Adults need voluntary work, transparent wages meeting the applicable legal minimum and a credible plan toward a locally assessed living wage. Employers should not use housing, water or an advance to trap workers. Support should include a safe option to leave the kiln industry entirely.</w:t>
      </w:r>
    </w:p>
    <w:p>
      <w:r>
        <w:rPr>
          <w:b w:val="0"/>
        </w:rPr>
        <w:t>A proposed verification schedule is an immediate post-intervention check, followed by private contact at 30, 90, 180 and 365 days. Record whether adults can change employers, children attend school, income is adequate and threats or renewed bondage have appeared. Report people whose status cannot be confirmed separately; do not silently count them as lasting successes.</w:t>
      </w:r>
    </w:p>
    <w:p>
      <w:pPr>
        <w:pStyle w:val="Heading2"/>
      </w:pPr>
      <w:r>
        <w:t>Modernize only with enforceable worker protections</w:t>
      </w:r>
    </w:p>
    <w:p>
      <w:r>
        <w:rPr>
          <w:b w:val="0"/>
        </w:rPr>
        <w:t>Cleaner kilns, better machinery, safe housing, drinking water and toilets can improve working conditions. None establishes freedom by itself. Investment should require voluntary employment, transparent payroll, independent worker complaints and access for lawful inspection. Keep commercial investment accounts separate from charitable assistance. Technology must not make an exploitative operation more profitable while leaving its workers trapped.</w:t>
      </w:r>
    </w:p>
    <w:p>
      <w:pPr>
        <w:pStyle w:val="Heading1"/>
        <w:pageBreakBefore/>
      </w:pPr>
      <w:r>
        <w:t>A church policy for accountable giving</w:t>
      </w:r>
    </w:p>
    <w:p>
      <w:r>
        <w:rPr>
          <w:b w:val="0"/>
        </w:rPr>
        <w:t>Churches can adopt the following standard before funding any claimed release. Apply it to GFM and every other organization, regardless of reputation, relationships or the strength of a fundraising video.</w:t>
      </w:r>
    </w:p>
    <w:p>
      <w:r>
        <w:rPr>
          <w:b/>
        </w:rPr>
        <w:t>We will fund lawful assistance to families affected by bonded labor. We will not treat a payment, photograph or testimony alone as proof of freedom. We require an independent assessment, qualified local legal guidance, disclosed fees, traceable spending and follow-up. We will report unresolved cases honestly and protect the people we are helping.</w:t>
      </w:r>
    </w:p>
    <w:p>
      <w:pPr>
        <w:pStyle w:val="Heading2"/>
      </w:pPr>
      <w:r>
        <w:t>Before approving support</w:t>
      </w:r>
    </w:p>
    <w:p>
      <w:pPr>
        <w:pStyle w:val="ListBullet"/>
      </w:pPr>
      <w:r>
        <w:t>Verify the organization, its responsible officers, bank details and the local people delivering the work.</w:t>
      </w:r>
    </w:p>
    <w:p>
      <w:pPr>
        <w:pStyle w:val="ListBullet"/>
      </w:pPr>
      <w:r>
        <w:t>Require a confidential case assessment, the family’s consent and a written legal and safety plan.</w:t>
      </w:r>
    </w:p>
    <w:p>
      <w:pPr>
        <w:pStyle w:val="ListBullet"/>
      </w:pPr>
      <w:r>
        <w:t>Approve an itemized budget and disclose every commission, intermediary fee and conflict of interest.</w:t>
      </w:r>
    </w:p>
    <w:p>
      <w:pPr>
        <w:pStyle w:val="ListBullet"/>
      </w:pPr>
      <w:r>
        <w:t>Require legal review of any proposed employer payment; do not pay a claimed debt simply because an owner demands it.</w:t>
      </w:r>
    </w:p>
    <w:p>
      <w:pPr>
        <w:pStyle w:val="ListBullet"/>
      </w:pPr>
      <w:r>
        <w:t>Agree on independent financial reconciliation, outcome checks and reporting dates before transferring funds.</w:t>
      </w:r>
    </w:p>
    <w:p>
      <w:pPr>
        <w:pStyle w:val="ListBullet"/>
      </w:pPr>
      <w:r>
        <w:t>Provide a confidential complaint route, a pause procedure for suspected diversion and a plan to protect essential family support.</w:t>
      </w:r>
    </w:p>
    <w:p>
      <w:pPr>
        <w:pStyle w:val="Heading2"/>
      </w:pPr>
      <w:r>
        <w:t>What GFM should demonstrate</w:t>
      </w:r>
    </w:p>
    <w:p>
      <w:r>
        <w:rPr>
          <w:b w:val="0"/>
        </w:rPr>
        <w:t>GFM is proposing a model centered on legal aid, independent verification, rehabilitation and public accountability. These are commitments to establish and demonstrate, not a claim that a fully audited national program already exists. Before raising money for specific releases or a new kiln, GFM should identify qualified partners, establish controls, approve a costed pilot and publish the reporting standard it will follow.</w:t>
      </w:r>
    </w:p>
    <w:p>
      <w:r>
        <w:rPr>
          <w:b w:val="0"/>
        </w:rPr>
        <w:t>Our Christian concern for persecuted believers must never require a family to convert, attend a church or appear in a fundraising video to receive help. Every person deserves freedom from coercion. A church can give generously while requiring evidence that its giving reaches the intended people.</w:t>
      </w:r>
    </w:p>
    <w:p>
      <w:pPr>
        <w:pStyle w:val="Heading2"/>
      </w:pPr>
      <w:r>
        <w:t>Sources and further reading</w:t>
      </w:r>
    </w:p>
    <w:p>
      <w:hyperlink r:id="rId9">
        <w:r>
          <w:rPr>
            <w:color w:val="174B73"/>
          </w:rPr>
          <w:t>[1] NCHR Knowledge Pro | 2025 Punjab brick kiln research and recommendations</w:t>
        </w:r>
      </w:hyperlink>
    </w:p>
    <w:p>
      <w:hyperlink r:id="rId10">
        <w:r>
          <w:rPr>
            <w:color w:val="174B73"/>
          </w:rPr>
          <w:t>[2] Pakistan Code | Bonded Labour System Abolition Act 1992 | Sections 4 to 8 and 15 to 17</w:t>
        </w:r>
      </w:hyperlink>
    </w:p>
    <w:p>
      <w:hyperlink r:id="rId11">
        <w:r>
          <w:rPr>
            <w:color w:val="174B73"/>
          </w:rPr>
          <w:t>ILO NATLEX | Law record and related provincial legislation</w:t>
        </w:r>
      </w:hyperlink>
    </w:p>
    <w:p>
      <w:hyperlink r:id="rId12">
        <w:r>
          <w:rPr>
            <w:color w:val="174B73"/>
          </w:rPr>
          <w:t>GFM | Bonded labor work and organizational contact</w:t>
        </w:r>
      </w:hyperlink>
    </w:p>
    <w:p>
      <w:r>
        <w:rPr>
          <w:b w:val="0"/>
          <w:sz w:val="18"/>
        </w:rPr>
        <w:t>Legal summaries describe the cited framework. A licensed Pakistani lawyer must confirm current provincial law and procedure for each intervention. Verification and financial controls in this report are proposed donor standards, not findings about any named ministry.</w:t>
      </w:r>
    </w:p>
    <w:p>
      <w:pPr>
        <w:pStyle w:val="Heading1"/>
        <w:pageBreakBefore/>
      </w:pPr>
      <w:r>
        <w:t>Getting the report to people who can act</w:t>
      </w:r>
    </w:p>
    <w:p>
      <w:r>
        <w:t>Public visibility and official action need separate work. Share the public report widely, and submit a focused proposal directly to the institutions responsible for enforcement. A hashtag cannot guarantee a meeting or a response.</w:t>
      </w:r>
    </w:p>
    <w:p>
      <w:pPr>
        <w:pStyle w:val="Heading2"/>
      </w:pPr>
      <w:r>
        <w:t>Start with a formal government request</w:t>
      </w:r>
    </w:p>
    <w:p>
      <w:r>
        <w:t>Use an existing government relationship to request an introduction to the responsible provincial offices. Submit a short covering letter and this report to Punjab labor and human rights authorities, NCHR and the federal Ministry of Human Rights. Request acknowledgement and a reference number. Keep sensitive evidence in a separate protected file.</w:t>
      </w:r>
    </w:p>
    <w:p>
      <w:pPr>
        <w:pStyle w:val="Heading2"/>
      </w:pPr>
      <w:r>
        <w:t>Suggested wording</w:t>
      </w:r>
    </w:p>
    <w:p>
      <w:r>
        <w:t>I am requesting a meeting to discuss a lawful brick kiln inspection and legal aid pilot. GFM proposes private worker assessments, qualified local counsel, transparent assistance and independent follow-up. Please identify a responsible contact and provide a written response on a possible district, participating agencies and the process for reviewing documented cases. We want to support Pakistan’s enforcement of its own laws and the lasting safety of affected families.</w:t>
      </w:r>
    </w:p>
    <w:p>
      <w:pPr>
        <w:pStyle w:val="Heading2"/>
      </w:pPr>
      <w:r>
        <w:t>Verified starting contacts</w:t>
      </w:r>
    </w:p>
    <w:p>
      <w:r>
        <w:t>NCHR Chairperson: chairperson@nchr.gov.pk. NCHR Punjab complaints office: punjab.complaints@nchr.gov.pk. NCHR minorities office: member.minority@nchr.gov.pk. Federal Ministry of Human Rights: secretary@mohr.gov.pk. Use complaint channels for documented cases within their remit, rather than publicity messages.</w:t>
      </w:r>
    </w:p>
    <w:p>
      <w:hyperlink r:id="rId13">
        <w:r>
          <w:rPr>
            <w:color w:val="174B73"/>
          </w:rPr>
          <w:t>Official contact directories checked October 7 2026 | NCHR</w:t>
        </w:r>
      </w:hyperlink>
    </w:p>
    <w:p>
      <w:hyperlink r:id="rId14">
        <w:r>
          <w:rPr>
            <w:color w:val="174B73"/>
          </w:rPr>
          <w:t>Federal Ministry of Human Rights</w:t>
        </w:r>
      </w:hyperlink>
    </w:p>
    <w:p>
      <w:pPr>
        <w:pStyle w:val="Heading2"/>
      </w:pPr>
      <w:r>
        <w:t>Create a public invitation to respond</w:t>
      </w:r>
    </w:p>
    <w:p>
      <w:r>
        <w:t>When the campaign page is published, share a short captioned testimony video and one consistent page link. Prepare English and Urdu versions. Invite churches to adopt the giving policy and journalists to review the evidence. Ask lawyers, officials and ethical employers to contact GFM privately about a pilot. Suggested discovery tags include #EndBondedLabour, #Pakistan and #HumanRights; tag only verified official accounts sparingly.</w:t>
      </w:r>
    </w:p>
    <w:p>
      <w:pPr>
        <w:pStyle w:val="Heading2"/>
      </w:pPr>
      <w:r>
        <w:t>Track receipt and action</w:t>
      </w:r>
    </w:p>
    <w:p>
      <w:r>
        <w:t>Record recipients, submission dates, references, requested actions and responses. Follow up after 7 days to confirm receipt and after 14 days to request a meeting date. At 30 days, report accurately who acknowledged the proposal and what was agreed. These are proposed follow-up intervals, not official response deadlines. Moderate public comments, and direct identifying evidence or allegations to private review.</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before="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nchr.gov.pk/knowledge-pro/" TargetMode="External"/><Relationship Id="rId10" Type="http://schemas.openxmlformats.org/officeDocument/2006/relationships/hyperlink" Target="https://pakistancode.gov.pk/pdffiles/administrator193484c31f7b4b5c5cbd0aae5038201e.pdf" TargetMode="External"/><Relationship Id="rId11" Type="http://schemas.openxmlformats.org/officeDocument/2006/relationships/hyperlink" Target="https://natlex.ilo.org/dyn/natlex2/r/natlex/fe/details?p3_isn=30017" TargetMode="External"/><Relationship Id="rId12" Type="http://schemas.openxmlformats.org/officeDocument/2006/relationships/hyperlink" Target="https://globalfreedommission.org/humanitarian/bonded-labor/" TargetMode="External"/><Relationship Id="rId13" Type="http://schemas.openxmlformats.org/officeDocument/2006/relationships/hyperlink" Target="https://nchr.gov.pk/contact-us/" TargetMode="External"/><Relationship Id="rId14" Type="http://schemas.openxmlformats.org/officeDocument/2006/relationships/hyperlink" Target="https://mohr.gov.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Giving and Lasting Freedom from Bonded Labor in Pakistan</dc:title>
  <dc:subject/>
  <dc:creator>Christopher Tolliver | Global Freedom Mission</dc:creator>
  <cp:keywords/>
  <dc:description>generated by python-docx</dc:description>
  <cp:lastModifiedBy/>
  <cp:revision>1</cp:revision>
  <dcterms:created xsi:type="dcterms:W3CDTF">2013-12-23T23:15:00Z</dcterms:created>
  <dcterms:modified xsi:type="dcterms:W3CDTF">2013-12-23T23:15:00Z</dcterms:modified>
  <cp:category/>
</cp:coreProperties>
</file>